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3611" w14:textId="4989BD70" w:rsidR="00883F11" w:rsidRPr="00883F11" w:rsidRDefault="00883F11" w:rsidP="00883F1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883F1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437/ </w:t>
      </w:r>
      <w:r w:rsidR="003F42C3">
        <w:rPr>
          <w:rFonts w:ascii="Arial" w:eastAsia="Times New Roman" w:hAnsi="Arial"/>
          <w:b/>
          <w:bCs/>
          <w:sz w:val="24"/>
          <w:szCs w:val="24"/>
          <w:lang w:eastAsia="pl-PL"/>
        </w:rPr>
        <w:t>8925</w:t>
      </w:r>
      <w:r w:rsidRPr="00883F1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4F72E66B" w14:textId="77777777" w:rsidR="00883F11" w:rsidRPr="00883F11" w:rsidRDefault="00883F11" w:rsidP="00883F1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883F11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5FE7237" w14:textId="77777777" w:rsidR="00883F11" w:rsidRPr="00883F11" w:rsidRDefault="00883F11" w:rsidP="00883F1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83F11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4EC163B" w14:textId="28D37BCD" w:rsidR="00883F11" w:rsidRDefault="00883F11" w:rsidP="00883F1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83F11">
        <w:rPr>
          <w:rFonts w:ascii="Arial" w:eastAsia="Times New Roman" w:hAnsi="Arial"/>
          <w:sz w:val="24"/>
          <w:szCs w:val="24"/>
          <w:lang w:eastAsia="pl-PL"/>
        </w:rPr>
        <w:t>z dnia 15 listopada  2022r.</w:t>
      </w:r>
      <w:bookmarkEnd w:id="0"/>
    </w:p>
    <w:p w14:paraId="768AE9CA" w14:textId="77777777" w:rsidR="00883F11" w:rsidRPr="00883F11" w:rsidRDefault="00883F11" w:rsidP="00883F1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0E20AC10" w:rsidR="00010693" w:rsidRPr="00CF1CE2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6D0ADC"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6D6240" w:rsidRPr="00CF1CE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CF1CE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6D0ADC" w:rsidRPr="00CF1CE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Ponadlokalnego </w:t>
      </w:r>
      <w:bookmarkStart w:id="1" w:name="_Hlk118879145"/>
      <w:r w:rsidR="006D0ADC" w:rsidRPr="00CF1CE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„Pogórza Strzyżowsko-Dynowskiego” na lata 2022-2030</w:t>
      </w:r>
      <w:r w:rsidR="0016434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bookmarkEnd w:id="1"/>
    <w:p w14:paraId="6D1FAC2C" w14:textId="77603FFE" w:rsidR="00DF7F37" w:rsidRPr="00CF1CE2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3" w:name="_Hlk97803401"/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4" w:name="_Hlk117140884"/>
      <w:bookmarkEnd w:id="3"/>
      <w:r w:rsidR="00723F01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="00B94EA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="006D0ADC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ust. </w:t>
      </w:r>
      <w:r w:rsidR="006D0ADC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="006D0ADC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</w:t>
      </w:r>
      <w:r w:rsidR="00A20C8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</w:t>
      </w:r>
      <w:r w:rsidR="00A57FA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CF1CE2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CF1CE2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CF1CE2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5" w:name="_Hlk45790122"/>
      <w:r w:rsidRPr="00CF1CE2">
        <w:rPr>
          <w:rFonts w:eastAsia="Times New Roman"/>
          <w:color w:val="000000" w:themeColor="text1"/>
          <w:lang w:eastAsia="pl-PL"/>
        </w:rPr>
        <w:t>§ 1</w:t>
      </w:r>
    </w:p>
    <w:bookmarkEnd w:id="5"/>
    <w:p w14:paraId="27320FCD" w14:textId="0EAC62E5" w:rsidR="00040685" w:rsidRPr="00CF1CE2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29387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</w:t>
      </w:r>
      <w:r w:rsidR="00293877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Ponadlokalnego „Pogórza Strzyżowsko-Dynowskiego” na lata 2022-2030 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735E3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14F1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8F646E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CF1CE2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CF1CE2">
        <w:rPr>
          <w:rFonts w:eastAsia="Times New Roman"/>
          <w:color w:val="000000" w:themeColor="text1"/>
        </w:rPr>
        <w:t>§ 2</w:t>
      </w:r>
    </w:p>
    <w:p w14:paraId="5CD46CED" w14:textId="77777777" w:rsidR="00F00592" w:rsidRPr="00CF1CE2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CF1CE2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CF1CE2">
        <w:rPr>
          <w:rFonts w:eastAsia="Times New Roman"/>
          <w:color w:val="000000" w:themeColor="text1"/>
        </w:rPr>
        <w:t>§ 3</w:t>
      </w:r>
    </w:p>
    <w:p w14:paraId="73C4E17A" w14:textId="77777777" w:rsidR="00F00592" w:rsidRPr="00CF1CE2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CF1CE2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CF1CE2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CF1CE2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CF1CE2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46C1D4A7" w14:textId="77777777" w:rsidR="005400EB" w:rsidRPr="00071C32" w:rsidRDefault="005400EB" w:rsidP="005400EB">
      <w:pPr>
        <w:spacing w:after="0"/>
        <w:rPr>
          <w:rFonts w:ascii="Arial" w:hAnsi="Arial" w:cs="Arial"/>
          <w:sz w:val="23"/>
          <w:szCs w:val="23"/>
        </w:rPr>
      </w:pPr>
      <w:r w:rsidRPr="00071C3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507EC9A" w14:textId="77777777" w:rsidR="005400EB" w:rsidRPr="00071C32" w:rsidRDefault="005400EB" w:rsidP="005400EB">
      <w:pPr>
        <w:spacing w:after="0"/>
        <w:rPr>
          <w:rFonts w:ascii="Arial" w:eastAsiaTheme="minorEastAsia" w:hAnsi="Arial" w:cs="Arial"/>
        </w:rPr>
      </w:pPr>
      <w:r w:rsidRPr="00071C3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634143A8" w14:textId="77777777" w:rsidR="004D2A30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0FCF8930" w14:textId="77777777" w:rsidR="005400EB" w:rsidRDefault="005400EB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37493DAB" w:rsidR="005400EB" w:rsidRPr="00CF1CE2" w:rsidRDefault="005400EB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5400EB" w:rsidRPr="00CF1CE2" w:rsidSect="001E448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B311FD" w14:textId="4CFB1C11" w:rsidR="00883F11" w:rsidRPr="00883F11" w:rsidRDefault="00883F11" w:rsidP="00883F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437/</w:t>
      </w:r>
      <w:r w:rsidR="003F42C3">
        <w:rPr>
          <w:rFonts w:ascii="Arial" w:eastAsia="Times New Roman" w:hAnsi="Arial" w:cs="Arial"/>
          <w:bCs/>
          <w:sz w:val="24"/>
          <w:szCs w:val="24"/>
          <w:lang w:eastAsia="pl-PL"/>
        </w:rPr>
        <w:t>8925</w:t>
      </w:r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16C5EFEE" w14:textId="77777777" w:rsidR="00883F11" w:rsidRPr="00883F11" w:rsidRDefault="00883F11" w:rsidP="00883F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29228D8" w14:textId="77777777" w:rsidR="00883F11" w:rsidRPr="00883F11" w:rsidRDefault="00883F11" w:rsidP="00883F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9B2DA3C" w14:textId="36197D1F" w:rsidR="00883F11" w:rsidRPr="00883F11" w:rsidRDefault="00883F11" w:rsidP="00883F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15 listopada </w:t>
      </w:r>
      <w:r w:rsidRPr="00883F11">
        <w:rPr>
          <w:rFonts w:ascii="Arial" w:eastAsia="Times New Roman" w:hAnsi="Arial"/>
          <w:sz w:val="24"/>
          <w:szCs w:val="24"/>
          <w:lang w:eastAsia="pl-PL"/>
        </w:rPr>
        <w:t xml:space="preserve">2022 </w:t>
      </w:r>
      <w:r w:rsidRPr="00883F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6"/>
    </w:p>
    <w:p w14:paraId="65575C8F" w14:textId="27B3C051" w:rsidR="00F71851" w:rsidRPr="00CF1CE2" w:rsidRDefault="004D2A30" w:rsidP="005902D1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CF1CE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CF1C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737BB571" w14:textId="4CC3509C" w:rsidR="00293877" w:rsidRPr="00CF1CE2" w:rsidRDefault="008220FD" w:rsidP="00293877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Zgodnie z art. 10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g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ust.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6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ustawy z dnia 8 marca 1990 r. </w:t>
      </w:r>
      <w:r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7" w:name="_Hlk98835338"/>
      <w:bookmarkStart w:id="8" w:name="_Hlk97803195"/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opracowuje odpowiednio wójt albo starosta wskazany w porozumieniu międzygminnym, organ wykonawczy związku międzygminnego albo stowarzyszenia oraz przedkłada go zarządowi województwa w</w:t>
      </w:r>
      <w:r w:rsidR="00D14F1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celu wydania opinii dotyczącej sposobu uwzględnienia ustaleń i rekomendacji w</w:t>
      </w:r>
      <w:r w:rsidR="00D14F1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 województwie określonych w strategii rozwoju województwa.</w:t>
      </w:r>
    </w:p>
    <w:p w14:paraId="3A69B0EE" w14:textId="77777777" w:rsidR="00293877" w:rsidRPr="00CF1CE2" w:rsidRDefault="00293877" w:rsidP="00293877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72E8CAC9" w14:textId="4FCE6223" w:rsidR="00513158" w:rsidRPr="00CF1CE2" w:rsidRDefault="00902E6A" w:rsidP="00293877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9" w:name="_Hlk118885537"/>
      <w:r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21</w:t>
      </w:r>
      <w:r w:rsidR="00735E34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października</w:t>
      </w:r>
      <w:r w:rsidR="0036365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</w:t>
      </w:r>
      <w:r w:rsidR="00735E34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października 2022 r., znak: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IN.041.11.2022.BME </w:t>
      </w:r>
      <w:r w:rsidR="00E529CA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Pawła </w:t>
      </w:r>
      <w:proofErr w:type="spellStart"/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Midury</w:t>
      </w:r>
      <w:proofErr w:type="spellEnd"/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476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–</w:t>
      </w:r>
      <w:r w:rsidR="00293877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29CA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</w:t>
      </w:r>
      <w:r w:rsidR="002A476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astępcy Burmistrza Strzyżowa 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zawierające prośbę o wydanie opinii o której mowa w art. 10f ust. </w:t>
      </w:r>
      <w:r w:rsidR="002A476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2A476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6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2A476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="006D6240"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</w:t>
      </w:r>
      <w:r w:rsidR="002A4765"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Ponadlokalnego „Pogórza Strzyżowsko-Dynowskiego” na lata </w:t>
      </w:r>
      <w:r w:rsidR="006D6240"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2022-2030</w:t>
      </w:r>
      <w:r w:rsidR="00912AE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</w:t>
      </w:r>
      <w:r w:rsidR="002A4765" w:rsidRPr="00CF1CE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</w:t>
      </w:r>
      <w:r w:rsidR="00912AE5" w:rsidRPr="00CF1CE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  <w:r w:rsidR="0018338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Gmina Strzyżów w tym zakresie działa jako Lider </w:t>
      </w:r>
      <w:r w:rsidR="00183382" w:rsidRPr="00183382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Porozumienia z dnia 9 marca 2022 r. określającego zasady współpracy przy opracowaniu i wdrożeniu Strategii Rozwoju Ponadlokalnego na rzecz Gmin z Pogórza Strzyżowsko-Dynowskiego na lata 2022-2030</w:t>
      </w:r>
      <w:r w:rsidR="00183382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zawartego pomiędzy Gminami: Strzyżów, Frysztak, Wiśniowa, Wojaszówka i udziałem Powiatu Strzyżowskiego.</w:t>
      </w:r>
    </w:p>
    <w:bookmarkEnd w:id="7"/>
    <w:bookmarkEnd w:id="8"/>
    <w:bookmarkEnd w:id="9"/>
    <w:p w14:paraId="7764502B" w14:textId="7FC95BEB" w:rsidR="00912AE5" w:rsidRPr="00CF1CE2" w:rsidRDefault="00DF2CA4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529CA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bookmarkStart w:id="10" w:name="_Hlk118896613"/>
      <w:r w:rsidR="000A0720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</w:t>
      </w:r>
      <w:r w:rsidR="00E529CA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Rozwoju Ponadlokalnego „Pogórza Strzyżowsko-Dynowskiego” na lata 2022-2030 </w:t>
      </w:r>
      <w:bookmarkEnd w:id="10"/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</w:t>
      </w:r>
      <w:r w:rsidR="00AD373B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A5361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w</w:t>
      </w:r>
      <w:r w:rsidR="00ED6958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D14F1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D14F17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 cel</w:t>
      </w:r>
      <w:r w:rsidR="00FF41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D208C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</w:t>
      </w:r>
      <w:r w:rsidR="00FF41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</w:t>
      </w:r>
      <w:r w:rsidR="00AE441A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FF41BF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ich ramach </w:t>
      </w:r>
      <w:r w:rsidR="00AD373B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CF1CE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D208C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D208C4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CF1CE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55B8AF78" w14:textId="27977BA1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29306EF4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421D50BF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2.2, 4.2, 4.4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C223F68" w14:textId="54797421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28E76B80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2.1. Edukacja</w:t>
      </w:r>
    </w:p>
    <w:p w14:paraId="5113C47F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3.4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E662269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2F431407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3.4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B640A03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07E0FB25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4.1, 4.2, 4.3, 4.4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D0F7D0D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363D47EC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1.2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FCE74C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6C424225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3.1, 3.4, 4.3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4F08917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5AC816BD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3.4, 4.3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044930C" w14:textId="6AC09AF2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61C9D094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1653B7D4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2.3, 3.1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4BFFDC2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3.2. Rozwój infrastruktury transportowej oraz integracji międzygałęziowej transportu</w:t>
      </w:r>
    </w:p>
    <w:p w14:paraId="7476C8BA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3.2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BFF6BD4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60D858FD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_Hlk117854530"/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3.1, 3.2, 4.2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1"/>
    <w:p w14:paraId="66DACBDB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72CB8A9D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591A51F" w14:textId="0B653C29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3F7841F2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17161701"/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4.2, 4.4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2"/>
    <w:p w14:paraId="0386B6C9" w14:textId="77777777" w:rsidR="00CF1CE2" w:rsidRPr="00CF1CE2" w:rsidRDefault="00CF1CE2" w:rsidP="00CF1CE2">
      <w:pPr>
        <w:spacing w:after="120" w:line="240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621EF6A3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2.3, 3.1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8E8BF34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73FC0E9F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2.3, 3.1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7C9D6B6" w14:textId="32CB4B2A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053EBBCB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_Hlk118881179"/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2.3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3"/>
    <w:p w14:paraId="536D1518" w14:textId="34BC6D8D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1ACF1CED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16957675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1.1, 1.2, 2.1, 3.1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EEE2F7B" w14:textId="2472EB81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12A07EBE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15090079"/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3.1, 4.1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4"/>
    </w:p>
    <w:p w14:paraId="322AF8A5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4.3. Wsparcie instytucjonalne i poprawa bezpieczeństwa mieszkańców</w:t>
      </w:r>
    </w:p>
    <w:p w14:paraId="35919F91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EA35E69" w14:textId="77777777" w:rsidR="00CF1CE2" w:rsidRPr="00CF1CE2" w:rsidRDefault="00CF1CE2" w:rsidP="00CF1CE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4C69A8BA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2.1 </w:t>
      </w:r>
      <w:r w:rsidRPr="00CF1CE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SRP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CF5E3D5" w14:textId="77777777" w:rsidR="00CF1CE2" w:rsidRPr="00CF1CE2" w:rsidRDefault="00CF1CE2" w:rsidP="00CF1CE2">
      <w:pPr>
        <w:spacing w:before="120" w:after="12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60324369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0350F59B" w14:textId="77777777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53EAE258" w14:textId="029770C6" w:rsidR="00CF1CE2" w:rsidRPr="00CF1CE2" w:rsidRDefault="00CF1CE2" w:rsidP="00CF1CE2">
      <w:pPr>
        <w:spacing w:after="12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 w:rsidR="004E6863"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CF1CE2">
        <w:rPr>
          <w:rFonts w:ascii="Arial" w:eastAsiaTheme="minorHAnsi" w:hAnsi="Arial" w:cs="Arial"/>
          <w:color w:val="000000" w:themeColor="text1"/>
          <w:sz w:val="24"/>
          <w:szCs w:val="24"/>
        </w:rPr>
        <w:t>wypoczynku</w:t>
      </w:r>
    </w:p>
    <w:p w14:paraId="2AC19D35" w14:textId="6D28C7C4" w:rsidR="00B9081A" w:rsidRDefault="00B9081A" w:rsidP="005902D1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Uwzględniając powyższe przyporządkowanie, Zarząd Województwa Podkarpackiego rekomenduje modyfikację zawartych na str. 35-37 </w:t>
      </w:r>
      <w:r w:rsidRPr="00B9081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zapisów odnoszących się do spójności pomiędzy opiniowanym dokumentem a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tym zakresie sugeruje się </w:t>
      </w:r>
      <w:r w:rsid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wykorzystanie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nazewnictw</w:t>
      </w:r>
      <w:r w:rsid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układ</w:t>
      </w:r>
      <w:r w:rsid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logiczn</w:t>
      </w:r>
      <w:r w:rsid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7206F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A044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.</w:t>
      </w:r>
    </w:p>
    <w:p w14:paraId="665A3308" w14:textId="1F20554C" w:rsidR="009A044A" w:rsidRPr="009A044A" w:rsidRDefault="009A044A" w:rsidP="009A044A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zwraca ponadto uwagę, że analiza </w:t>
      </w:r>
      <w:r w:rsidR="00E40A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zgodności zapisów SRP </w:t>
      </w:r>
      <w:r w:rsidRP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zawarta na str. 33-35 </w:t>
      </w:r>
      <w:r w:rsidR="00E40A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dokumentu</w:t>
      </w:r>
      <w:r w:rsidRP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odnosi się do projektu Umowy Partnerstwa, która nie ma już charakteru projektowego, lecz stanowi oficjalny dokument, przyjęty przez Komisję Europejską. Zapisy </w:t>
      </w:r>
      <w:r w:rsidRPr="009A044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SRP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zakresie </w:t>
      </w:r>
      <w:r w:rsidRP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należy zatem uaktualnić.</w:t>
      </w:r>
    </w:p>
    <w:p w14:paraId="3D6E2DED" w14:textId="45A01E92" w:rsidR="00ED6958" w:rsidRPr="00F16F5F" w:rsidRDefault="00ED6958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F16F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="00505AEC" w:rsidRPr="00F16F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wskazanym w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art. 10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 ust. 3 </w:t>
      </w:r>
      <w:proofErr w:type="spellStart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myśl art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10e ust. 3 </w:t>
      </w:r>
      <w:proofErr w:type="spellStart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strategia rozwoju powinna bowiem zawierać m.in. wnioski z diagnozy, cele strategiczne rozwoju w</w:t>
      </w:r>
      <w:r w:rsid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(OSI) 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określone w strategii rozwoju województwa wraz z</w:t>
      </w:r>
      <w:r w:rsid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zakresem planowanych działań, obszary strategicznej interwencji kluczowe dla gminy, jeżeli takie zidentyfikowano, wraz z zakresem planowanych działań, system realizacji strategii, w</w:t>
      </w:r>
      <w:r w:rsid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tym wytyczne do sporządzania dokumentów wykonawczych oraz ramy finansowe i</w:t>
      </w:r>
      <w:r w:rsid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 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wersją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tekstową zawierającą ww. elementy, </w:t>
      </w:r>
      <w:r w:rsidR="00505AEC" w:rsidRPr="00F16F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SRP 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powinna przedstawiać również w formie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graficzn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ej</w:t>
      </w:r>
      <w:r w:rsidR="00505AE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model struktury funkcjonalno-przestrzennej, a także OSI regionalne i lokalne wraz z planowanymi w</w:t>
      </w:r>
      <w:r w:rsid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ramach działaniami (art. 10e ust. 4 </w:t>
      </w:r>
      <w:proofErr w:type="spellStart"/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F16F5F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.).</w:t>
      </w:r>
    </w:p>
    <w:p w14:paraId="7B25E69E" w14:textId="5F513F64" w:rsidR="00ED6958" w:rsidRPr="000624BC" w:rsidRDefault="00F16F5F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5" w:name="_Hlk109727219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w</w:t>
      </w:r>
      <w:r w:rsidR="00ED6958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eryfikacj</w:t>
      </w:r>
      <w:r w:rsidR="000F103C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ED6958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potwierdziła, że </w:t>
      </w:r>
      <w:r w:rsidR="00E931C4" w:rsidRPr="00F16F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Pr="00F16F5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="00E931C4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D6958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</w:t>
      </w:r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katalog zagadnień,</w:t>
      </w:r>
      <w:bookmarkEnd w:id="15"/>
      <w:r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E67B0" w:rsidRPr="00F16F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jednakże w stosunku do niektórych z nich Zarząd Województwa Podkarpackiego wskazuje Projektodawcy rekomendacje, których uwzględnienie </w:t>
      </w:r>
      <w:r w:rsidR="00AE67B0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 spójność opiniowanego dokumentu.</w:t>
      </w:r>
    </w:p>
    <w:p w14:paraId="7501CE2C" w14:textId="6204B4C3" w:rsidR="000F103C" w:rsidRPr="000624BC" w:rsidRDefault="000F103C" w:rsidP="00323C2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zawartej w </w:t>
      </w:r>
      <w:r w:rsidRPr="000624B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="00CD560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części 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stycznej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Zarząd Województwa Podkarpackiego do rozważenia przez Projektodawcę pozostawia możliwość ponownej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jej 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weryfikacji i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ewentualnego uzupełnienia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wnioski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wzmacniające uzasadnienie dla dokonanych przesądzeń kierunkowych w </w:t>
      </w:r>
      <w:r w:rsidR="00323C2E" w:rsidRPr="000624B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SRP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np. 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odnoszących się do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polityki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inwestycyjnej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obszaru partnerstwa, w tym planów zbrojenia terenów, a także rozwoju jego potencjału turystycznego i działań zmierzających do integracji środowisk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Takie podejście pozytywnie wpłynie na </w:t>
      </w:r>
      <w:r w:rsidR="000624BC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spójność i logikę</w:t>
      </w:r>
      <w:r w:rsidR="00323C2E" w:rsidRPr="000624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dokumentu.</w:t>
      </w:r>
    </w:p>
    <w:p w14:paraId="0F49DDCF" w14:textId="00C24B2F" w:rsidR="00B67103" w:rsidRPr="007206F1" w:rsidRDefault="000624BC" w:rsidP="000F103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ustawą o samorządzie gminnym, </w:t>
      </w:r>
      <w:r w:rsidRPr="007206F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wymiarze społecznym, gospodarczym i przestrzennym. Zdaniem Z</w:t>
      </w:r>
      <w:r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arząd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Województwa Podkarpackiego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wskazane w części kierunkowej cele strategiczne nie akcentują jednak wyraźnie wymiaru przestrzennego, który zamarkowano </w:t>
      </w:r>
      <w:r w:rsidR="00B9081A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dopiero n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poziomie </w:t>
      </w:r>
      <w:r w:rsidR="00B9081A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peracyjny</w:t>
      </w:r>
      <w:r w:rsidR="00B9081A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Mając na uwadze powyższe, rekomenduje się </w:t>
      </w:r>
      <w:r w:rsidR="00B9081A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rozważenie 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wzmocnieni</w:t>
      </w:r>
      <w:r w:rsidR="00B9081A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B67103" w:rsidRPr="007206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tych zapisów.</w:t>
      </w:r>
      <w:r w:rsid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Dodatkowo rekomenduje się ujednolicenie słownika terminologicznego, którym posługuje się </w:t>
      </w:r>
      <w:r w:rsidR="009A044A" w:rsidRPr="009A044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="009A044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uwagi na pojawiające się rozbieżność pojęć priorytety rozwojowe (str. 37) oraz cele operacyjne (str. 40 i n.).</w:t>
      </w:r>
    </w:p>
    <w:p w14:paraId="2B7EEE45" w14:textId="76CCD38C" w:rsidR="001E7175" w:rsidRPr="00215469" w:rsidRDefault="000F103C" w:rsidP="008D72A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9617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="00CD560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zawarto model struktury funkcjonalno-przestrzennej </w:t>
      </w:r>
      <w:r w:rsidR="007206F1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obszaru partnerstwa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Zdaniem Zarządu Województwa Podkarpackiego wymaga on jednak dokonania pewnych korekt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uzupełnień. Forma graficzna modelu nie przedstawia sieci osadniczej oraz obszarów o kluczowych funkcjach dla rozwoju. Dodatkowo,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sposób 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enia 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mapie 7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8D19FC" w:rsidRPr="009617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Model struktury funkcjonalno-przestrzennej – Wieloletni Plan Inwestycyjny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lokalizacj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kluczowych projektów strategicznych wydaj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zbyt ogólnym podejściem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albowiem zakres projektów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obejmuje 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kilka lub kilkanaście zadań inwestycyjnych. Przedstawienie ich w sposób sugerujący realizację w każdym ośrodku osadniczym budzi wątpliwości co do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zasadności, jak i możliwości samej realizacji. W zakresie przedstawienia kierunków rozwoju przestrzennego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rekomenduje prezentację kluczowych działań zgodnie z tabel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ami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1E71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określone zostały kierunki działań. Ponadto rekomenduje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ponowny p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rzegląd map w zakresie </w:t>
      </w:r>
      <w:r w:rsidR="008D19FC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8D72AB" w:rsidRPr="009617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godności prezentowanych na nich elementów z ich legendą (mapa 2 </w:t>
      </w:r>
      <w:r w:rsidR="008D72AB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4)</w:t>
      </w:r>
      <w:r w:rsidR="008D19FC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2F45560" w14:textId="398FEBCE" w:rsidR="008D19FC" w:rsidRPr="00215469" w:rsidRDefault="008D19FC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E931C4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naliza</w:t>
      </w:r>
      <w:r w:rsidR="00DF2CA4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2CA4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wykazała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niepełną identyfikację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regionalnych OSI w które wpisuje się obszar Partnerstwa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Zawarty w </w:t>
      </w:r>
      <w:r w:rsidR="001E7175"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 katalog nie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uwzględnia bowiem w</w:t>
      </w:r>
      <w:r w:rsid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sposób prawidłowy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statusu 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miny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Wojaszówka, która jest gminą wiejską, ale wchodzącą również w skład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funkcjonaln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MOF Krosno.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Dodatkowo zaprezentowany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183382"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sób wykazania katalogu OSI jest 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zdaniem Zarządu Województwa Podkarpackiego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byt ogólny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potencjalnie wprowadzający w błąd, albowiem nie wszystkie wykazane 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nim 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OSI mają zastosowanie do wszystkich obszarów objętych </w:t>
      </w:r>
      <w:r w:rsidR="00183382"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="00183382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1E7175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powyższe, Zarząd Województwa Podkarpackiego rekomenduje bardziej precyzyjne przypisanie samorządów stanowiących obszar Partnerstwa do regionalnych OSI.</w:t>
      </w:r>
    </w:p>
    <w:p w14:paraId="56E674A6" w14:textId="1C2363AA" w:rsidR="001E7175" w:rsidRPr="00215469" w:rsidRDefault="001E7175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SRP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zamieszczono</w:t>
      </w:r>
      <w:r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zapisy </w:t>
      </w:r>
      <w:r w:rsidR="00215469"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Planu Zagospodarowania Przestrzennego Województwa Podkarpackiego – Perspektywa 2030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odnoszące się do obszarów funkcjonalnych o znaczeniu ponadregionalnym, w tym wskazujące kierunki, zasady i</w:t>
      </w:r>
      <w:r w:rsid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warunki ich zagospodarowania. Dla obszarów funkcjonalnych o znaczeniu regionalnym pominięto powyższe elementy i wskazano wyłącznie mapę je 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prezentującą. Mając na uwadze powyższe, rekomenduje się uzupełnienie </w:t>
      </w:r>
      <w:r w:rsidR="00215469" w:rsidRPr="0021546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SRP 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215469" w:rsidRPr="002154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brakujący zakres.</w:t>
      </w:r>
    </w:p>
    <w:p w14:paraId="1825E758" w14:textId="15E717B3" w:rsidR="001B4751" w:rsidRPr="00867B20" w:rsidRDefault="00A233B1" w:rsidP="005902D1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Dodatkowo zwraca się uwagę na zdublowane podrozdziały, które powtarzają te same treści.</w:t>
      </w:r>
    </w:p>
    <w:p w14:paraId="49518992" w14:textId="1D9E646A" w:rsidR="00595089" w:rsidRPr="00867B20" w:rsidRDefault="002F0C2E" w:rsidP="005902D1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przedmiotowej opinii n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) w związku z art. 10</w:t>
      </w:r>
      <w:r w:rsidR="00867B2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ust. </w:t>
      </w:r>
      <w:r w:rsidR="00867B2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</w:t>
      </w:r>
      <w:r w:rsidR="00867B2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5F9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67B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E931C4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negaty</w:t>
      </w:r>
      <w:r w:rsidR="001A279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wnie</w:t>
      </w:r>
      <w:r w:rsidR="001B4751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867B2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F60F6C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867B20" w:rsidRPr="00867B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Ponadlokalnego „Pogórza Strzyżowsko-Dynowskiego” na lata 2022-2030 </w:t>
      </w:r>
      <w:r w:rsidR="006C3238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935B4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A328D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867B20" w:rsidRPr="00867B20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A21368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867B2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76433140" w14:textId="2D32204B" w:rsidR="005902D1" w:rsidRPr="00CF1CE2" w:rsidRDefault="00F95FB7" w:rsidP="005902D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highlight w:val="yellow"/>
        </w:rPr>
      </w:pPr>
      <w:r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Z uwagi na treść niniejszej uchwały</w:t>
      </w:r>
      <w:r w:rsidR="005902D1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rekomenduje się wprowadzenie w toku dalszego procedowania </w:t>
      </w:r>
      <w:r w:rsidR="005902D1" w:rsidRPr="00867B2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</w:t>
      </w:r>
      <w:r w:rsidR="00867B20" w:rsidRPr="00867B2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</w:t>
      </w:r>
      <w:r w:rsidR="005902D1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</w:t>
      </w:r>
      <w:r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powyżej</w:t>
      </w:r>
      <w:r w:rsidR="005902D1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a następnie ponowne przedłożenie </w:t>
      </w:r>
      <w:r w:rsidR="00867B20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</w:t>
      </w:r>
      <w:r w:rsidR="005902D1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rojektu </w:t>
      </w:r>
      <w:r w:rsidR="00867B20" w:rsidRPr="00867B2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Ponadlokalnego „Pogórza Strzyżowsko-Dynowskiego” na lata 2022-2030 </w:t>
      </w:r>
      <w:r w:rsidR="005902D1" w:rsidRPr="00867B2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 przez Zarząd Województwa Podkarpackiego.</w:t>
      </w:r>
    </w:p>
    <w:sectPr w:rsidR="005902D1" w:rsidRPr="00CF1CE2" w:rsidSect="00BD67F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B9E9" w14:textId="77777777" w:rsidR="00250E9D" w:rsidRDefault="00250E9D" w:rsidP="00DF7F37">
      <w:pPr>
        <w:spacing w:after="0" w:line="240" w:lineRule="auto"/>
      </w:pPr>
      <w:r>
        <w:separator/>
      </w:r>
    </w:p>
  </w:endnote>
  <w:endnote w:type="continuationSeparator" w:id="0">
    <w:p w14:paraId="70829679" w14:textId="77777777" w:rsidR="00250E9D" w:rsidRDefault="00250E9D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0250" w14:textId="535F3F34" w:rsidR="00BD67FF" w:rsidRDefault="00BD67FF">
    <w:pPr>
      <w:pStyle w:val="Stopka"/>
      <w:jc w:val="right"/>
    </w:pPr>
  </w:p>
  <w:p w14:paraId="5DFB40B9" w14:textId="77777777" w:rsidR="00BD67FF" w:rsidRDefault="00BD6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4583" w14:textId="77777777" w:rsidR="00250E9D" w:rsidRDefault="00250E9D" w:rsidP="00DF7F37">
      <w:pPr>
        <w:spacing w:after="0" w:line="240" w:lineRule="auto"/>
      </w:pPr>
      <w:r>
        <w:separator/>
      </w:r>
    </w:p>
  </w:footnote>
  <w:footnote w:type="continuationSeparator" w:id="0">
    <w:p w14:paraId="5988DDF0" w14:textId="77777777" w:rsidR="00250E9D" w:rsidRDefault="00250E9D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3553">
    <w:abstractNumId w:val="6"/>
  </w:num>
  <w:num w:numId="2" w16cid:durableId="540560962">
    <w:abstractNumId w:val="8"/>
  </w:num>
  <w:num w:numId="3" w16cid:durableId="1900092426">
    <w:abstractNumId w:val="0"/>
  </w:num>
  <w:num w:numId="4" w16cid:durableId="117532541">
    <w:abstractNumId w:val="1"/>
  </w:num>
  <w:num w:numId="5" w16cid:durableId="211550245">
    <w:abstractNumId w:val="5"/>
  </w:num>
  <w:num w:numId="6" w16cid:durableId="1434132796">
    <w:abstractNumId w:val="7"/>
  </w:num>
  <w:num w:numId="7" w16cid:durableId="1763522724">
    <w:abstractNumId w:val="3"/>
  </w:num>
  <w:num w:numId="8" w16cid:durableId="1220703102">
    <w:abstractNumId w:val="4"/>
  </w:num>
  <w:num w:numId="9" w16cid:durableId="172649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24BC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5C35"/>
    <w:rsid w:val="000E00A7"/>
    <w:rsid w:val="000E323B"/>
    <w:rsid w:val="000E4E89"/>
    <w:rsid w:val="000E544F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49DA"/>
    <w:rsid w:val="00136873"/>
    <w:rsid w:val="00136C30"/>
    <w:rsid w:val="00137B33"/>
    <w:rsid w:val="00140599"/>
    <w:rsid w:val="0014274A"/>
    <w:rsid w:val="001501AB"/>
    <w:rsid w:val="001509E0"/>
    <w:rsid w:val="001514AA"/>
    <w:rsid w:val="00151ACC"/>
    <w:rsid w:val="00151E63"/>
    <w:rsid w:val="0016434F"/>
    <w:rsid w:val="001667C1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3382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E7175"/>
    <w:rsid w:val="001F0F03"/>
    <w:rsid w:val="001F3D3A"/>
    <w:rsid w:val="002028F8"/>
    <w:rsid w:val="00202B0A"/>
    <w:rsid w:val="0020421B"/>
    <w:rsid w:val="00204CCE"/>
    <w:rsid w:val="0020500A"/>
    <w:rsid w:val="002105A8"/>
    <w:rsid w:val="002115B6"/>
    <w:rsid w:val="00211C52"/>
    <w:rsid w:val="00215469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3877"/>
    <w:rsid w:val="00294226"/>
    <w:rsid w:val="00294D25"/>
    <w:rsid w:val="00295F92"/>
    <w:rsid w:val="00296C24"/>
    <w:rsid w:val="002A0FD4"/>
    <w:rsid w:val="002A232F"/>
    <w:rsid w:val="002A4048"/>
    <w:rsid w:val="002A4765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7067"/>
    <w:rsid w:val="002D7361"/>
    <w:rsid w:val="002E05F1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77B5"/>
    <w:rsid w:val="0031001C"/>
    <w:rsid w:val="00310919"/>
    <w:rsid w:val="00311A68"/>
    <w:rsid w:val="00316789"/>
    <w:rsid w:val="003177B7"/>
    <w:rsid w:val="00320F99"/>
    <w:rsid w:val="00322A52"/>
    <w:rsid w:val="00323C2E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61C24"/>
    <w:rsid w:val="00363650"/>
    <w:rsid w:val="00363EF1"/>
    <w:rsid w:val="003641DA"/>
    <w:rsid w:val="003661F3"/>
    <w:rsid w:val="003703BF"/>
    <w:rsid w:val="00371364"/>
    <w:rsid w:val="00374B08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7057"/>
    <w:rsid w:val="00397C68"/>
    <w:rsid w:val="003A05EF"/>
    <w:rsid w:val="003A2D47"/>
    <w:rsid w:val="003A655B"/>
    <w:rsid w:val="003B0E06"/>
    <w:rsid w:val="003B148F"/>
    <w:rsid w:val="003B1C73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226B"/>
    <w:rsid w:val="003E414A"/>
    <w:rsid w:val="003E4813"/>
    <w:rsid w:val="003E4F46"/>
    <w:rsid w:val="003F1011"/>
    <w:rsid w:val="003F42C3"/>
    <w:rsid w:val="0040259C"/>
    <w:rsid w:val="00410A16"/>
    <w:rsid w:val="00410DD0"/>
    <w:rsid w:val="00411444"/>
    <w:rsid w:val="00412E16"/>
    <w:rsid w:val="004138EC"/>
    <w:rsid w:val="00422225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507BE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C33"/>
    <w:rsid w:val="004C4E3E"/>
    <w:rsid w:val="004C5185"/>
    <w:rsid w:val="004C542E"/>
    <w:rsid w:val="004C5756"/>
    <w:rsid w:val="004D2A30"/>
    <w:rsid w:val="004D3DA0"/>
    <w:rsid w:val="004D6B15"/>
    <w:rsid w:val="004E0BFC"/>
    <w:rsid w:val="004E0D3F"/>
    <w:rsid w:val="004E1C3A"/>
    <w:rsid w:val="004E671C"/>
    <w:rsid w:val="004E6863"/>
    <w:rsid w:val="004E76C4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5AEC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0EB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7650A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452"/>
    <w:rsid w:val="005E191A"/>
    <w:rsid w:val="005E5815"/>
    <w:rsid w:val="005E6C76"/>
    <w:rsid w:val="005E72C3"/>
    <w:rsid w:val="005F128E"/>
    <w:rsid w:val="005F16A4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B0E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0ADC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206F1"/>
    <w:rsid w:val="00720C52"/>
    <w:rsid w:val="007236DE"/>
    <w:rsid w:val="00723F01"/>
    <w:rsid w:val="00725543"/>
    <w:rsid w:val="007319F5"/>
    <w:rsid w:val="00735E34"/>
    <w:rsid w:val="007403F3"/>
    <w:rsid w:val="00742BF0"/>
    <w:rsid w:val="0074584B"/>
    <w:rsid w:val="007474BE"/>
    <w:rsid w:val="00755199"/>
    <w:rsid w:val="00761B71"/>
    <w:rsid w:val="00762386"/>
    <w:rsid w:val="00764993"/>
    <w:rsid w:val="0076579B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437E"/>
    <w:rsid w:val="00825515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16C2"/>
    <w:rsid w:val="008545D0"/>
    <w:rsid w:val="008570D6"/>
    <w:rsid w:val="00857215"/>
    <w:rsid w:val="00863579"/>
    <w:rsid w:val="00865E98"/>
    <w:rsid w:val="00866B3F"/>
    <w:rsid w:val="008671DF"/>
    <w:rsid w:val="00867B20"/>
    <w:rsid w:val="00871351"/>
    <w:rsid w:val="00876F70"/>
    <w:rsid w:val="00880423"/>
    <w:rsid w:val="00880B72"/>
    <w:rsid w:val="00882783"/>
    <w:rsid w:val="00883F11"/>
    <w:rsid w:val="0088431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9FC"/>
    <w:rsid w:val="008D1C80"/>
    <w:rsid w:val="008D72AB"/>
    <w:rsid w:val="008D76EE"/>
    <w:rsid w:val="008E377F"/>
    <w:rsid w:val="008E7282"/>
    <w:rsid w:val="008F3B85"/>
    <w:rsid w:val="008F3BD2"/>
    <w:rsid w:val="008F5B2F"/>
    <w:rsid w:val="008F5DD8"/>
    <w:rsid w:val="008F646E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AD9"/>
    <w:rsid w:val="0095568C"/>
    <w:rsid w:val="0095587B"/>
    <w:rsid w:val="00961786"/>
    <w:rsid w:val="00963C4B"/>
    <w:rsid w:val="009662F4"/>
    <w:rsid w:val="00973302"/>
    <w:rsid w:val="00974743"/>
    <w:rsid w:val="00974EA1"/>
    <w:rsid w:val="0097519C"/>
    <w:rsid w:val="009757B2"/>
    <w:rsid w:val="00976DD3"/>
    <w:rsid w:val="009770C1"/>
    <w:rsid w:val="0098329D"/>
    <w:rsid w:val="009866C1"/>
    <w:rsid w:val="009878F2"/>
    <w:rsid w:val="00993F66"/>
    <w:rsid w:val="00995198"/>
    <w:rsid w:val="009A044A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0831"/>
    <w:rsid w:val="00A1162F"/>
    <w:rsid w:val="00A118B8"/>
    <w:rsid w:val="00A13456"/>
    <w:rsid w:val="00A136C1"/>
    <w:rsid w:val="00A15D1B"/>
    <w:rsid w:val="00A20C80"/>
    <w:rsid w:val="00A21368"/>
    <w:rsid w:val="00A233B1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67B0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67103"/>
    <w:rsid w:val="00B71194"/>
    <w:rsid w:val="00B71510"/>
    <w:rsid w:val="00B73837"/>
    <w:rsid w:val="00B80A6C"/>
    <w:rsid w:val="00B86677"/>
    <w:rsid w:val="00B9081A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733"/>
    <w:rsid w:val="00BC711B"/>
    <w:rsid w:val="00BD1162"/>
    <w:rsid w:val="00BD1455"/>
    <w:rsid w:val="00BD48B0"/>
    <w:rsid w:val="00BD657D"/>
    <w:rsid w:val="00BD67FF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D5607"/>
    <w:rsid w:val="00CE0420"/>
    <w:rsid w:val="00CF10BC"/>
    <w:rsid w:val="00CF1CE2"/>
    <w:rsid w:val="00CF29C0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4F17"/>
    <w:rsid w:val="00D1634E"/>
    <w:rsid w:val="00D208C4"/>
    <w:rsid w:val="00D25909"/>
    <w:rsid w:val="00D308DF"/>
    <w:rsid w:val="00D43AFC"/>
    <w:rsid w:val="00D45474"/>
    <w:rsid w:val="00D45E08"/>
    <w:rsid w:val="00D539EF"/>
    <w:rsid w:val="00D6266C"/>
    <w:rsid w:val="00D67584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3023"/>
    <w:rsid w:val="00E33BD4"/>
    <w:rsid w:val="00E34A35"/>
    <w:rsid w:val="00E34C33"/>
    <w:rsid w:val="00E36A50"/>
    <w:rsid w:val="00E401B7"/>
    <w:rsid w:val="00E40AE3"/>
    <w:rsid w:val="00E41576"/>
    <w:rsid w:val="00E4495C"/>
    <w:rsid w:val="00E45C21"/>
    <w:rsid w:val="00E50774"/>
    <w:rsid w:val="00E50DFC"/>
    <w:rsid w:val="00E529CA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896"/>
    <w:rsid w:val="00E85784"/>
    <w:rsid w:val="00E87C38"/>
    <w:rsid w:val="00E917E6"/>
    <w:rsid w:val="00E92172"/>
    <w:rsid w:val="00E931C4"/>
    <w:rsid w:val="00E93A12"/>
    <w:rsid w:val="00E93C4D"/>
    <w:rsid w:val="00E96406"/>
    <w:rsid w:val="00E97E3E"/>
    <w:rsid w:val="00EA047B"/>
    <w:rsid w:val="00EA0502"/>
    <w:rsid w:val="00EA2539"/>
    <w:rsid w:val="00EA4CFD"/>
    <w:rsid w:val="00EA4DD0"/>
    <w:rsid w:val="00EA64CE"/>
    <w:rsid w:val="00EB208E"/>
    <w:rsid w:val="00EB3761"/>
    <w:rsid w:val="00EB54D4"/>
    <w:rsid w:val="00EB55FA"/>
    <w:rsid w:val="00EC16CB"/>
    <w:rsid w:val="00EC1F49"/>
    <w:rsid w:val="00EC37FD"/>
    <w:rsid w:val="00EC408C"/>
    <w:rsid w:val="00EC496D"/>
    <w:rsid w:val="00EC4B5C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42F"/>
    <w:rsid w:val="00F147CB"/>
    <w:rsid w:val="00F14896"/>
    <w:rsid w:val="00F15872"/>
    <w:rsid w:val="00F16F5F"/>
    <w:rsid w:val="00F21923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6A3"/>
    <w:rsid w:val="00F54FEB"/>
    <w:rsid w:val="00F60F6C"/>
    <w:rsid w:val="00F612C4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2C63"/>
    <w:rsid w:val="00F93890"/>
    <w:rsid w:val="00F946CC"/>
    <w:rsid w:val="00F95FB7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7355"/>
    <w:rsid w:val="00FD1A87"/>
    <w:rsid w:val="00FD3408"/>
    <w:rsid w:val="00FD51E0"/>
    <w:rsid w:val="00FD55C1"/>
    <w:rsid w:val="00FE1A4B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7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7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EA8F-9B20-424E-8E3C-9C84EB96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437_8925_22</dc:title>
  <dc:creator>Brogowska Ewelina</dc:creator>
  <cp:lastModifiedBy>.</cp:lastModifiedBy>
  <cp:revision>6</cp:revision>
  <cp:lastPrinted>2022-11-15T12:14:00Z</cp:lastPrinted>
  <dcterms:created xsi:type="dcterms:W3CDTF">2022-11-10T10:49:00Z</dcterms:created>
  <dcterms:modified xsi:type="dcterms:W3CDTF">2022-12-05T13:09:00Z</dcterms:modified>
</cp:coreProperties>
</file>